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337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1162050</wp:posOffset>
                </wp:positionV>
                <wp:extent cx="77724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F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0pt,91.5pt" to="612pt,91.5pt" stroked="true" strokeweight=".5pt" strokecolor="#0f0f2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2203450</wp:posOffset>
                </wp:positionV>
                <wp:extent cx="77724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F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0pt,173.5pt" to="612pt,173.5pt" stroked="true" strokeweight=".5pt" strokecolor="#0f0f2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5784850</wp:posOffset>
                </wp:positionV>
                <wp:extent cx="77724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F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0pt,455.5pt" to="612pt,455.5pt" stroked="true" strokeweight=".5pt" strokecolor="#0f0f2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3727450</wp:posOffset>
                </wp:positionV>
                <wp:extent cx="77724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F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0pt,293.5pt" to="612pt,293.5pt" stroked="true" strokeweight=".5pt" strokecolor="#0f0f23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388796</wp:posOffset>
            </wp:positionH>
            <wp:positionV relativeFrom="paragraph">
              <wp:posOffset>0</wp:posOffset>
            </wp:positionV>
            <wp:extent cx="554381" cy="406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8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525"/>
          <w:spacing w:val="-2"/>
        </w:rPr>
        <w:t>Summarizer</w:t>
      </w:r>
      <w:r>
        <w:rPr>
          <w:color w:val="262525"/>
        </w:rPr>
        <w:tab/>
      </w:r>
      <w:r>
        <w:rPr>
          <w:color w:val="223E74"/>
        </w:rPr>
        <w:t>Executive</w:t>
      </w:r>
      <w:r>
        <w:rPr>
          <w:color w:val="223E74"/>
          <w:spacing w:val="-8"/>
        </w:rPr>
        <w:t> </w:t>
      </w:r>
      <w:r>
        <w:rPr>
          <w:color w:val="223E74"/>
          <w:spacing w:val="-2"/>
        </w:rPr>
        <w:t>Summary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76"/>
        <w:rPr>
          <w:b/>
          <w:sz w:val="32"/>
        </w:rPr>
      </w:pPr>
    </w:p>
    <w:p>
      <w:pPr>
        <w:pStyle w:val="Heading1"/>
      </w:pPr>
      <w:r>
        <w:rPr>
          <w:color w:val="355B97"/>
        </w:rPr>
        <w:t>Title:</w:t>
      </w:r>
      <w:r>
        <w:rPr>
          <w:color w:val="355B97"/>
          <w:spacing w:val="-7"/>
        </w:rPr>
        <w:t> </w:t>
      </w:r>
      <w:r>
        <w:rPr>
          <w:color w:val="355B97"/>
        </w:rPr>
        <w:t>Quarterly</w:t>
      </w:r>
      <w:r>
        <w:rPr>
          <w:color w:val="355B97"/>
          <w:spacing w:val="-7"/>
        </w:rPr>
        <w:t> </w:t>
      </w:r>
      <w:r>
        <w:rPr>
          <w:color w:val="355B97"/>
        </w:rPr>
        <w:t>Sales</w:t>
      </w:r>
      <w:r>
        <w:rPr>
          <w:color w:val="355B97"/>
          <w:spacing w:val="-7"/>
        </w:rPr>
        <w:t> </w:t>
      </w:r>
      <w:r>
        <w:rPr>
          <w:color w:val="355B97"/>
        </w:rPr>
        <w:t>Performance</w:t>
      </w:r>
      <w:r>
        <w:rPr>
          <w:color w:val="355B97"/>
          <w:spacing w:val="-7"/>
        </w:rPr>
        <w:t> </w:t>
      </w:r>
      <w:r>
        <w:rPr>
          <w:color w:val="355B97"/>
          <w:spacing w:val="-2"/>
        </w:rPr>
        <w:t>Overview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76"/>
        <w:rPr>
          <w:b/>
          <w:sz w:val="32"/>
        </w:rPr>
      </w:pPr>
    </w:p>
    <w:p>
      <w:pPr>
        <w:spacing w:before="0"/>
        <w:ind w:left="106" w:right="0" w:firstLine="0"/>
        <w:jc w:val="left"/>
        <w:rPr>
          <w:b/>
          <w:sz w:val="32"/>
        </w:rPr>
      </w:pPr>
      <w:r>
        <w:rPr>
          <w:b/>
          <w:color w:val="355B97"/>
          <w:spacing w:val="-2"/>
          <w:sz w:val="32"/>
        </w:rPr>
        <w:t>Purpose:</w:t>
      </w:r>
    </w:p>
    <w:p>
      <w:pPr>
        <w:pStyle w:val="BodyText"/>
        <w:spacing w:line="312" w:lineRule="auto" w:before="265"/>
        <w:ind w:left="106" w:right="41"/>
      </w:pPr>
      <w:r>
        <w:rPr>
          <w:color w:val="262525"/>
        </w:rPr>
        <w:t>The</w:t>
      </w:r>
      <w:r>
        <w:rPr>
          <w:color w:val="262525"/>
          <w:spacing w:val="-3"/>
        </w:rPr>
        <w:t> </w:t>
      </w:r>
      <w:r>
        <w:rPr>
          <w:color w:val="262525"/>
        </w:rPr>
        <w:t>purpose</w:t>
      </w:r>
      <w:r>
        <w:rPr>
          <w:color w:val="262525"/>
          <w:spacing w:val="-3"/>
        </w:rPr>
        <w:t> </w:t>
      </w:r>
      <w:r>
        <w:rPr>
          <w:color w:val="262525"/>
        </w:rPr>
        <w:t>of</w:t>
      </w:r>
      <w:r>
        <w:rPr>
          <w:color w:val="262525"/>
          <w:spacing w:val="-3"/>
        </w:rPr>
        <w:t> </w:t>
      </w:r>
      <w:r>
        <w:rPr>
          <w:color w:val="262525"/>
        </w:rPr>
        <w:t>this</w:t>
      </w:r>
      <w:r>
        <w:rPr>
          <w:color w:val="262525"/>
          <w:spacing w:val="-3"/>
        </w:rPr>
        <w:t> </w:t>
      </w:r>
      <w:r>
        <w:rPr>
          <w:color w:val="262525"/>
        </w:rPr>
        <w:t>report</w:t>
      </w:r>
      <w:r>
        <w:rPr>
          <w:color w:val="262525"/>
          <w:spacing w:val="-3"/>
        </w:rPr>
        <w:t> </w:t>
      </w:r>
      <w:r>
        <w:rPr>
          <w:color w:val="262525"/>
        </w:rPr>
        <w:t>is</w:t>
      </w:r>
      <w:r>
        <w:rPr>
          <w:color w:val="262525"/>
          <w:spacing w:val="-3"/>
        </w:rPr>
        <w:t> </w:t>
      </w:r>
      <w:r>
        <w:rPr>
          <w:color w:val="262525"/>
        </w:rPr>
        <w:t>to</w:t>
      </w:r>
      <w:r>
        <w:rPr>
          <w:color w:val="262525"/>
          <w:spacing w:val="-3"/>
        </w:rPr>
        <w:t> </w:t>
      </w:r>
      <w:r>
        <w:rPr>
          <w:color w:val="262525"/>
        </w:rPr>
        <w:t>provide</w:t>
      </w:r>
      <w:r>
        <w:rPr>
          <w:color w:val="262525"/>
          <w:spacing w:val="-3"/>
        </w:rPr>
        <w:t> </w:t>
      </w:r>
      <w:r>
        <w:rPr>
          <w:color w:val="262525"/>
        </w:rPr>
        <w:t>a</w:t>
      </w:r>
      <w:r>
        <w:rPr>
          <w:color w:val="262525"/>
          <w:spacing w:val="-3"/>
        </w:rPr>
        <w:t> </w:t>
      </w:r>
      <w:r>
        <w:rPr>
          <w:color w:val="262525"/>
        </w:rPr>
        <w:t>brief</w:t>
      </w:r>
      <w:r>
        <w:rPr>
          <w:color w:val="262525"/>
          <w:spacing w:val="-3"/>
        </w:rPr>
        <w:t> </w:t>
      </w:r>
      <w:r>
        <w:rPr>
          <w:color w:val="262525"/>
        </w:rPr>
        <w:t>overview</w:t>
      </w:r>
      <w:r>
        <w:rPr>
          <w:color w:val="262525"/>
          <w:spacing w:val="-3"/>
        </w:rPr>
        <w:t> </w:t>
      </w:r>
      <w:r>
        <w:rPr>
          <w:color w:val="262525"/>
        </w:rPr>
        <w:t>of</w:t>
      </w:r>
      <w:r>
        <w:rPr>
          <w:color w:val="262525"/>
          <w:spacing w:val="-3"/>
        </w:rPr>
        <w:t> </w:t>
      </w:r>
      <w:r>
        <w:rPr>
          <w:color w:val="262525"/>
        </w:rPr>
        <w:t>the</w:t>
      </w:r>
      <w:r>
        <w:rPr>
          <w:color w:val="262525"/>
          <w:spacing w:val="-3"/>
        </w:rPr>
        <w:t> </w:t>
      </w:r>
      <w:r>
        <w:rPr>
          <w:color w:val="262525"/>
        </w:rPr>
        <w:t>company's</w:t>
      </w:r>
      <w:r>
        <w:rPr>
          <w:color w:val="262525"/>
          <w:spacing w:val="-3"/>
        </w:rPr>
        <w:t> </w:t>
      </w:r>
      <w:r>
        <w:rPr>
          <w:color w:val="262525"/>
        </w:rPr>
        <w:t>sales</w:t>
      </w:r>
      <w:r>
        <w:rPr>
          <w:color w:val="262525"/>
          <w:spacing w:val="-3"/>
        </w:rPr>
        <w:t> </w:t>
      </w:r>
      <w:r>
        <w:rPr>
          <w:color w:val="262525"/>
        </w:rPr>
        <w:t>performance</w:t>
      </w:r>
      <w:r>
        <w:rPr>
          <w:color w:val="262525"/>
          <w:spacing w:val="-3"/>
        </w:rPr>
        <w:t> </w:t>
      </w:r>
      <w:r>
        <w:rPr>
          <w:color w:val="262525"/>
        </w:rPr>
        <w:t>for</w:t>
      </w:r>
      <w:r>
        <w:rPr>
          <w:color w:val="262525"/>
          <w:spacing w:val="-3"/>
        </w:rPr>
        <w:t> </w:t>
      </w:r>
      <w:r>
        <w:rPr>
          <w:color w:val="262525"/>
        </w:rPr>
        <w:t>the</w:t>
      </w:r>
      <w:r>
        <w:rPr>
          <w:color w:val="262525"/>
          <w:spacing w:val="-3"/>
        </w:rPr>
        <w:t> </w:t>
      </w:r>
      <w:r>
        <w:rPr>
          <w:color w:val="262525"/>
        </w:rPr>
        <w:t>last quarter. It aims to highlight key areas of growth, identify any significant trends, and recommend strategies for improvement in the upcoming quarter.</w:t>
      </w:r>
    </w:p>
    <w:p>
      <w:pPr>
        <w:pStyle w:val="BodyText"/>
        <w:rPr>
          <w:sz w:val="32"/>
        </w:rPr>
      </w:pPr>
    </w:p>
    <w:p>
      <w:pPr>
        <w:pStyle w:val="BodyText"/>
        <w:spacing w:before="38"/>
        <w:rPr>
          <w:sz w:val="32"/>
        </w:rPr>
      </w:pPr>
    </w:p>
    <w:p>
      <w:pPr>
        <w:pStyle w:val="Heading1"/>
      </w:pPr>
      <w:r>
        <w:rPr>
          <w:color w:val="355B97"/>
          <w:spacing w:val="-2"/>
        </w:rPr>
        <w:t>Findings: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265" w:after="0"/>
        <w:ind w:left="466" w:right="0" w:hanging="360"/>
        <w:jc w:val="left"/>
        <w:rPr>
          <w:sz w:val="24"/>
        </w:rPr>
      </w:pPr>
      <w:r>
        <w:rPr>
          <w:color w:val="262525"/>
          <w:sz w:val="24"/>
        </w:rPr>
        <w:t>Sales</w:t>
      </w:r>
      <w:r>
        <w:rPr>
          <w:color w:val="262525"/>
          <w:spacing w:val="-6"/>
          <w:sz w:val="24"/>
        </w:rPr>
        <w:t> </w:t>
      </w:r>
      <w:r>
        <w:rPr>
          <w:color w:val="262525"/>
          <w:sz w:val="24"/>
        </w:rPr>
        <w:t>increased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by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12%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compared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to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the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previous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quarter,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with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a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total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revenue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of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$5.8</w:t>
      </w:r>
      <w:r>
        <w:rPr>
          <w:color w:val="262525"/>
          <w:spacing w:val="-3"/>
          <w:sz w:val="24"/>
        </w:rPr>
        <w:t> </w:t>
      </w:r>
      <w:r>
        <w:rPr>
          <w:color w:val="262525"/>
          <w:spacing w:val="-2"/>
          <w:sz w:val="24"/>
        </w:rPr>
        <w:t>million.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84" w:after="0"/>
        <w:ind w:left="466" w:right="0" w:hanging="360"/>
        <w:jc w:val="left"/>
        <w:rPr>
          <w:sz w:val="24"/>
        </w:rPr>
      </w:pPr>
      <w:r>
        <w:rPr>
          <w:color w:val="262525"/>
          <w:sz w:val="24"/>
        </w:rPr>
        <w:t>Online</w:t>
      </w:r>
      <w:r>
        <w:rPr>
          <w:color w:val="262525"/>
          <w:spacing w:val="-6"/>
          <w:sz w:val="24"/>
        </w:rPr>
        <w:t> </w:t>
      </w:r>
      <w:r>
        <w:rPr>
          <w:color w:val="262525"/>
          <w:sz w:val="24"/>
        </w:rPr>
        <w:t>sales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showed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the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most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substantial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growth,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accounting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for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60%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of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total</w:t>
      </w:r>
      <w:r>
        <w:rPr>
          <w:color w:val="262525"/>
          <w:spacing w:val="-3"/>
          <w:sz w:val="24"/>
        </w:rPr>
        <w:t> </w:t>
      </w:r>
      <w:r>
        <w:rPr>
          <w:color w:val="262525"/>
          <w:spacing w:val="-2"/>
          <w:sz w:val="24"/>
        </w:rPr>
        <w:t>revenue.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84" w:after="0"/>
        <w:ind w:left="466" w:right="0" w:hanging="360"/>
        <w:jc w:val="left"/>
        <w:rPr>
          <w:sz w:val="24"/>
        </w:rPr>
      </w:pPr>
      <w:r>
        <w:rPr>
          <w:color w:val="262525"/>
          <w:sz w:val="24"/>
        </w:rPr>
        <w:t>The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Northeast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region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exceeded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sales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targets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by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15%,</w:t>
      </w:r>
      <w:r>
        <w:rPr>
          <w:color w:val="262525"/>
          <w:spacing w:val="-1"/>
          <w:sz w:val="24"/>
        </w:rPr>
        <w:t> </w:t>
      </w:r>
      <w:r>
        <w:rPr>
          <w:color w:val="262525"/>
          <w:sz w:val="24"/>
        </w:rPr>
        <w:t>while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the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Southwest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region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fell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short</w:t>
      </w:r>
      <w:r>
        <w:rPr>
          <w:color w:val="262525"/>
          <w:spacing w:val="-2"/>
          <w:sz w:val="24"/>
        </w:rPr>
        <w:t> </w:t>
      </w:r>
      <w:r>
        <w:rPr>
          <w:color w:val="262525"/>
          <w:sz w:val="24"/>
        </w:rPr>
        <w:t>by</w:t>
      </w:r>
      <w:r>
        <w:rPr>
          <w:color w:val="262525"/>
          <w:spacing w:val="-1"/>
          <w:sz w:val="24"/>
        </w:rPr>
        <w:t> </w:t>
      </w:r>
      <w:r>
        <w:rPr>
          <w:color w:val="262525"/>
          <w:spacing w:val="-5"/>
          <w:sz w:val="24"/>
        </w:rPr>
        <w:t>8%.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312" w:lineRule="auto" w:before="84" w:after="0"/>
        <w:ind w:left="466" w:right="1019" w:hanging="360"/>
        <w:jc w:val="left"/>
        <w:rPr>
          <w:sz w:val="24"/>
        </w:rPr>
      </w:pPr>
      <w:r>
        <w:rPr>
          <w:color w:val="262525"/>
          <w:sz w:val="24"/>
        </w:rPr>
        <w:t>Customer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feedback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indicated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high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satisfaction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with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product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quality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but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noted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some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delays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in </w:t>
      </w:r>
      <w:r>
        <w:rPr>
          <w:color w:val="262525"/>
          <w:spacing w:val="-2"/>
          <w:sz w:val="24"/>
        </w:rPr>
        <w:t>shipping.</w:t>
      </w:r>
    </w:p>
    <w:p>
      <w:pPr>
        <w:pStyle w:val="BodyText"/>
        <w:rPr>
          <w:sz w:val="32"/>
        </w:rPr>
      </w:pPr>
    </w:p>
    <w:p>
      <w:pPr>
        <w:pStyle w:val="BodyText"/>
        <w:spacing w:before="78"/>
        <w:rPr>
          <w:sz w:val="32"/>
        </w:rPr>
      </w:pPr>
    </w:p>
    <w:p>
      <w:pPr>
        <w:pStyle w:val="Heading1"/>
      </w:pPr>
      <w:r>
        <w:rPr>
          <w:color w:val="355B97"/>
          <w:spacing w:val="-2"/>
        </w:rPr>
        <w:t>Recommendations: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312" w:lineRule="auto" w:before="265" w:after="0"/>
        <w:ind w:left="466" w:right="673" w:hanging="360"/>
        <w:jc w:val="left"/>
        <w:rPr>
          <w:sz w:val="24"/>
        </w:rPr>
      </w:pPr>
      <w:r>
        <w:rPr>
          <w:color w:val="262525"/>
          <w:sz w:val="24"/>
        </w:rPr>
        <w:t>Continue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investing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in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online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marketing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and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expand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e-commerce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capabilities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to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capitalize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on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the growing online sales trend.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312" w:lineRule="auto" w:before="2" w:after="0"/>
        <w:ind w:left="466" w:right="979" w:hanging="360"/>
        <w:jc w:val="left"/>
        <w:rPr>
          <w:sz w:val="24"/>
        </w:rPr>
      </w:pPr>
      <w:r>
        <w:rPr>
          <w:color w:val="262525"/>
          <w:sz w:val="24"/>
        </w:rPr>
        <w:t>Implement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additional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resources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in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the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Southwest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region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to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address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the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shortfall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and</w:t>
      </w:r>
      <w:r>
        <w:rPr>
          <w:color w:val="262525"/>
          <w:spacing w:val="-4"/>
          <w:sz w:val="24"/>
        </w:rPr>
        <w:t> </w:t>
      </w:r>
      <w:r>
        <w:rPr>
          <w:color w:val="262525"/>
          <w:sz w:val="24"/>
        </w:rPr>
        <w:t>improve regional performance.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3" w:after="0"/>
        <w:ind w:left="466" w:right="0" w:hanging="360"/>
        <w:jc w:val="left"/>
        <w:rPr>
          <w:sz w:val="24"/>
        </w:rPr>
      </w:pPr>
      <w:r>
        <w:rPr>
          <w:color w:val="262525"/>
          <w:sz w:val="24"/>
        </w:rPr>
        <w:t>Streamline</w:t>
      </w:r>
      <w:r>
        <w:rPr>
          <w:color w:val="262525"/>
          <w:spacing w:val="-5"/>
          <w:sz w:val="24"/>
        </w:rPr>
        <w:t> </w:t>
      </w:r>
      <w:r>
        <w:rPr>
          <w:color w:val="262525"/>
          <w:sz w:val="24"/>
        </w:rPr>
        <w:t>logistics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processes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to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reduce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shipping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delays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and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enhance</w:t>
      </w:r>
      <w:r>
        <w:rPr>
          <w:color w:val="262525"/>
          <w:spacing w:val="-3"/>
          <w:sz w:val="24"/>
        </w:rPr>
        <w:t> </w:t>
      </w:r>
      <w:r>
        <w:rPr>
          <w:color w:val="262525"/>
          <w:sz w:val="24"/>
        </w:rPr>
        <w:t>customer</w:t>
      </w:r>
      <w:r>
        <w:rPr>
          <w:color w:val="262525"/>
          <w:spacing w:val="-3"/>
          <w:sz w:val="24"/>
        </w:rPr>
        <w:t> </w:t>
      </w:r>
      <w:r>
        <w:rPr>
          <w:color w:val="262525"/>
          <w:spacing w:val="-2"/>
          <w:sz w:val="24"/>
        </w:rPr>
        <w:t>satisfaction.</w:t>
      </w:r>
    </w:p>
    <w:sectPr>
      <w:footerReference w:type="default" r:id="rId5"/>
      <w:type w:val="continuous"/>
      <w:pgSz w:w="12240" w:h="15840"/>
      <w:pgMar w:header="0" w:footer="200" w:top="600" w:bottom="400" w:left="500" w:right="5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0</wp:posOffset>
              </wp:positionH>
              <wp:positionV relativeFrom="page">
                <wp:posOffset>9804400</wp:posOffset>
              </wp:positionV>
              <wp:extent cx="7772400" cy="254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254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540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54000"/>
                            </a:lnTo>
                            <a:lnTo>
                              <a:pt x="7772400" y="2540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23E7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2pt;width:612pt;height:20pt;mso-position-horizontal-relative:page;mso-position-vertical-relative:page;z-index:-15758848" id="docshape1" filled="true" fillcolor="#223e74" stroked="false">
              <v:fill type="solid"/>
              <w10:wrap type="none"/>
            </v:rect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6" w:hanging="360"/>
      </w:pPr>
      <w:rPr>
        <w:rFonts w:hint="default" w:ascii="Arial" w:hAnsi="Arial" w:eastAsia="Arial" w:cs="Arial"/>
        <w:b w:val="0"/>
        <w:bCs w:val="0"/>
        <w:i w:val="0"/>
        <w:iCs w:val="0"/>
        <w:color w:val="262525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158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466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terms:created xsi:type="dcterms:W3CDTF">2024-12-04T07:07:03Z</dcterms:created>
  <dcterms:modified xsi:type="dcterms:W3CDTF">2024-12-04T07:07:03Z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17.00</vt:lpwstr>
  </property>
</Properties>
</file>